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30" w:rsidRDefault="00EC1830" w:rsidP="00EC183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C1830" w:rsidRDefault="00EC1830" w:rsidP="00EC183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C1830" w:rsidRDefault="00EC1830" w:rsidP="00EC1830">
      <w:pPr>
        <w:jc w:val="center"/>
        <w:rPr>
          <w:sz w:val="28"/>
          <w:szCs w:val="28"/>
        </w:rPr>
      </w:pPr>
    </w:p>
    <w:p w:rsidR="00EC1830" w:rsidRDefault="00EC1830" w:rsidP="00EC183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C1830" w:rsidRDefault="00EC1830" w:rsidP="00EC1830">
      <w:pPr>
        <w:jc w:val="center"/>
        <w:rPr>
          <w:sz w:val="28"/>
          <w:szCs w:val="28"/>
        </w:rPr>
      </w:pPr>
    </w:p>
    <w:p w:rsidR="00EC1830" w:rsidRDefault="00EC1830" w:rsidP="00EC1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C1830" w:rsidRDefault="00EC1830" w:rsidP="00EC1830">
      <w:pPr>
        <w:jc w:val="center"/>
        <w:rPr>
          <w:b/>
          <w:sz w:val="28"/>
          <w:szCs w:val="28"/>
        </w:rPr>
      </w:pPr>
    </w:p>
    <w:p w:rsidR="00EC1830" w:rsidRPr="00EC1830" w:rsidRDefault="00EC1830" w:rsidP="00EC183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EC1830">
        <w:rPr>
          <w:sz w:val="28"/>
          <w:szCs w:val="28"/>
          <w:u w:val="single"/>
          <w:lang w:val="ru-RU"/>
        </w:rPr>
        <w:t>21</w:t>
      </w:r>
      <w:r>
        <w:rPr>
          <w:sz w:val="28"/>
          <w:szCs w:val="28"/>
          <w:u w:val="single"/>
        </w:rPr>
        <w:t>.</w:t>
      </w:r>
      <w:r w:rsidRPr="00EC1830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</w:rPr>
        <w:t>.20</w:t>
      </w:r>
      <w:r w:rsidRPr="00EC1830">
        <w:rPr>
          <w:sz w:val="28"/>
          <w:szCs w:val="28"/>
          <w:u w:val="single"/>
          <w:lang w:val="ru-RU"/>
        </w:rPr>
        <w:t>21</w:t>
      </w:r>
      <w:r>
        <w:rPr>
          <w:sz w:val="28"/>
          <w:szCs w:val="28"/>
        </w:rPr>
        <w:t xml:space="preserve"> № </w:t>
      </w:r>
      <w:r w:rsidRPr="00EC1830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9E4B0C" w:rsidRPr="00EC1830" w:rsidRDefault="009E4B0C" w:rsidP="009E4B0C">
      <w:pPr>
        <w:rPr>
          <w:sz w:val="28"/>
          <w:szCs w:val="28"/>
          <w:lang w:val="en-US"/>
        </w:rPr>
      </w:pPr>
    </w:p>
    <w:p w:rsidR="009E4B0C" w:rsidRPr="009F6A2C" w:rsidRDefault="009E4B0C" w:rsidP="009E4B0C">
      <w:pPr>
        <w:rPr>
          <w:sz w:val="28"/>
          <w:szCs w:val="28"/>
        </w:rPr>
      </w:pPr>
    </w:p>
    <w:p w:rsidR="009E4B0C" w:rsidRPr="009F6A2C" w:rsidRDefault="009E4B0C" w:rsidP="009E4B0C">
      <w:pPr>
        <w:rPr>
          <w:sz w:val="28"/>
          <w:szCs w:val="28"/>
        </w:rPr>
      </w:pPr>
      <w:r w:rsidRPr="009F6A2C">
        <w:rPr>
          <w:sz w:val="28"/>
          <w:szCs w:val="28"/>
        </w:rPr>
        <w:t>Про проект рішення міської ради</w:t>
      </w:r>
    </w:p>
    <w:p w:rsidR="00834D9A" w:rsidRDefault="009E4B0C" w:rsidP="0083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F6A2C">
        <w:rPr>
          <w:sz w:val="28"/>
          <w:szCs w:val="28"/>
        </w:rPr>
        <w:t>«</w:t>
      </w:r>
      <w:r w:rsidR="00834D9A" w:rsidRPr="00834D9A">
        <w:rPr>
          <w:sz w:val="28"/>
          <w:szCs w:val="28"/>
        </w:rPr>
        <w:t xml:space="preserve">Про внесення змін до рішення </w:t>
      </w:r>
    </w:p>
    <w:p w:rsidR="00834D9A" w:rsidRDefault="00834D9A" w:rsidP="0083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34D9A">
        <w:rPr>
          <w:sz w:val="28"/>
          <w:szCs w:val="28"/>
        </w:rPr>
        <w:t xml:space="preserve">міської ради від 24.12.2020 № 2-44 </w:t>
      </w:r>
    </w:p>
    <w:p w:rsidR="00834D9A" w:rsidRDefault="00834D9A" w:rsidP="0083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34D9A">
        <w:rPr>
          <w:sz w:val="28"/>
          <w:szCs w:val="28"/>
        </w:rPr>
        <w:t xml:space="preserve">«Про затвердження Програми будівництва, </w:t>
      </w:r>
    </w:p>
    <w:p w:rsidR="00834D9A" w:rsidRDefault="00834D9A" w:rsidP="0083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34D9A">
        <w:rPr>
          <w:sz w:val="28"/>
          <w:szCs w:val="28"/>
        </w:rPr>
        <w:t xml:space="preserve">реконструкції, ремонту та утримання </w:t>
      </w:r>
    </w:p>
    <w:p w:rsidR="00834D9A" w:rsidRDefault="00834D9A" w:rsidP="0083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34D9A">
        <w:rPr>
          <w:sz w:val="28"/>
          <w:szCs w:val="28"/>
        </w:rPr>
        <w:t xml:space="preserve">об’єктів вулично-дорожньої мережі </w:t>
      </w:r>
    </w:p>
    <w:p w:rsidR="009E4B0C" w:rsidRPr="009F6A2C" w:rsidRDefault="00834D9A" w:rsidP="0083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34D9A">
        <w:rPr>
          <w:sz w:val="28"/>
          <w:szCs w:val="28"/>
        </w:rPr>
        <w:t>міста Черкаси на 2021 – 2025 роки»</w:t>
      </w:r>
      <w:r w:rsidR="00F60DFA" w:rsidRPr="00F60DFA">
        <w:rPr>
          <w:sz w:val="28"/>
          <w:szCs w:val="28"/>
        </w:rPr>
        <w:t>»</w:t>
      </w:r>
    </w:p>
    <w:p w:rsidR="009E4B0C" w:rsidRPr="009F6A2C" w:rsidRDefault="009E4B0C" w:rsidP="009E4B0C">
      <w:pPr>
        <w:rPr>
          <w:sz w:val="28"/>
          <w:szCs w:val="28"/>
        </w:rPr>
      </w:pPr>
    </w:p>
    <w:p w:rsidR="00834D9A" w:rsidRDefault="00834D9A" w:rsidP="009E4B0C">
      <w:pPr>
        <w:ind w:firstLine="709"/>
        <w:jc w:val="both"/>
        <w:rPr>
          <w:sz w:val="28"/>
          <w:szCs w:val="28"/>
          <w:highlight w:val="yellow"/>
        </w:rPr>
      </w:pPr>
    </w:p>
    <w:p w:rsidR="009E4B0C" w:rsidRPr="00FF18F1" w:rsidRDefault="009E4B0C" w:rsidP="009E4B0C">
      <w:pPr>
        <w:ind w:firstLine="709"/>
        <w:jc w:val="both"/>
        <w:rPr>
          <w:sz w:val="28"/>
          <w:szCs w:val="28"/>
        </w:rPr>
      </w:pPr>
      <w:r w:rsidRPr="00FF18F1">
        <w:rPr>
          <w:sz w:val="28"/>
          <w:szCs w:val="28"/>
        </w:rPr>
        <w:t>Відповідно до пункту 1 частини «а» статті 27, пункту 1 частини 2 статті 52 Закону України «Про місцеве самоврядування в Україні</w:t>
      </w:r>
      <w:r w:rsidRPr="00D71F14">
        <w:rPr>
          <w:sz w:val="28"/>
          <w:szCs w:val="28"/>
        </w:rPr>
        <w:t xml:space="preserve">», </w:t>
      </w:r>
      <w:r w:rsidR="00FF18F1" w:rsidRPr="00D71F14">
        <w:rPr>
          <w:sz w:val="28"/>
          <w:szCs w:val="28"/>
        </w:rPr>
        <w:t xml:space="preserve">розглянувши </w:t>
      </w:r>
      <w:r w:rsidR="00E94487" w:rsidRPr="00D71F14">
        <w:rPr>
          <w:sz w:val="28"/>
          <w:szCs w:val="28"/>
        </w:rPr>
        <w:t>звернення комунального підприємства «Черкаське експлуатаційне лінійне управління автомобільних шляхів» Черкаської міської ради</w:t>
      </w:r>
      <w:r w:rsidR="00995177" w:rsidRPr="00995177">
        <w:rPr>
          <w:sz w:val="28"/>
          <w:szCs w:val="28"/>
        </w:rPr>
        <w:t xml:space="preserve"> </w:t>
      </w:r>
      <w:r w:rsidR="00244153">
        <w:rPr>
          <w:sz w:val="28"/>
          <w:szCs w:val="28"/>
        </w:rPr>
        <w:t xml:space="preserve">від 09.06.2021 № 318 </w:t>
      </w:r>
      <w:r w:rsidR="00995177">
        <w:rPr>
          <w:sz w:val="28"/>
          <w:szCs w:val="28"/>
        </w:rPr>
        <w:t>(</w:t>
      </w:r>
      <w:r w:rsidR="00244153">
        <w:rPr>
          <w:sz w:val="28"/>
          <w:szCs w:val="28"/>
        </w:rPr>
        <w:t>вх.</w:t>
      </w:r>
      <w:r w:rsidR="00995177">
        <w:rPr>
          <w:sz w:val="28"/>
          <w:szCs w:val="28"/>
        </w:rPr>
        <w:t xml:space="preserve"> </w:t>
      </w:r>
      <w:r w:rsidR="00244153">
        <w:rPr>
          <w:sz w:val="28"/>
          <w:szCs w:val="28"/>
        </w:rPr>
        <w:t xml:space="preserve">        </w:t>
      </w:r>
      <w:r w:rsidR="00995177">
        <w:rPr>
          <w:sz w:val="28"/>
          <w:szCs w:val="28"/>
        </w:rPr>
        <w:t>№</w:t>
      </w:r>
      <w:r w:rsidR="00244153">
        <w:rPr>
          <w:sz w:val="28"/>
          <w:szCs w:val="28"/>
        </w:rPr>
        <w:t> </w:t>
      </w:r>
      <w:r w:rsidR="00995177" w:rsidRPr="00995177">
        <w:rPr>
          <w:sz w:val="28"/>
          <w:szCs w:val="28"/>
        </w:rPr>
        <w:t>12654-01-18</w:t>
      </w:r>
      <w:r w:rsidR="00244153" w:rsidRPr="00244153">
        <w:t xml:space="preserve"> </w:t>
      </w:r>
      <w:r w:rsidR="00244153" w:rsidRPr="00244153">
        <w:rPr>
          <w:sz w:val="28"/>
          <w:szCs w:val="28"/>
        </w:rPr>
        <w:t>від 09.06.2021</w:t>
      </w:r>
      <w:r w:rsidR="00995177">
        <w:rPr>
          <w:sz w:val="28"/>
          <w:szCs w:val="28"/>
        </w:rPr>
        <w:t>)</w:t>
      </w:r>
      <w:r w:rsidR="00E94487" w:rsidRPr="00D71F14">
        <w:rPr>
          <w:sz w:val="28"/>
          <w:szCs w:val="28"/>
        </w:rPr>
        <w:t>,</w:t>
      </w:r>
      <w:r w:rsidR="006A6D9C" w:rsidRPr="00D71F14">
        <w:rPr>
          <w:sz w:val="28"/>
          <w:szCs w:val="28"/>
        </w:rPr>
        <w:t xml:space="preserve"> </w:t>
      </w:r>
      <w:r w:rsidRPr="00FF18F1">
        <w:rPr>
          <w:sz w:val="28"/>
          <w:szCs w:val="28"/>
        </w:rPr>
        <w:t>виконавчий комітет Черкаської міської ради</w:t>
      </w:r>
    </w:p>
    <w:p w:rsidR="009E4B0C" w:rsidRPr="009F6A2C" w:rsidRDefault="009E4B0C" w:rsidP="009E4B0C">
      <w:pPr>
        <w:jc w:val="both"/>
        <w:rPr>
          <w:sz w:val="28"/>
          <w:szCs w:val="28"/>
        </w:rPr>
      </w:pPr>
      <w:r w:rsidRPr="00FF18F1">
        <w:rPr>
          <w:sz w:val="28"/>
          <w:szCs w:val="28"/>
        </w:rPr>
        <w:t>ВИРІШИВ:</w:t>
      </w:r>
    </w:p>
    <w:p w:rsidR="009E4B0C" w:rsidRPr="009F6A2C" w:rsidRDefault="009E4B0C" w:rsidP="009E4B0C">
      <w:pPr>
        <w:jc w:val="both"/>
        <w:rPr>
          <w:sz w:val="28"/>
          <w:szCs w:val="28"/>
        </w:rPr>
      </w:pPr>
    </w:p>
    <w:p w:rsidR="009E4B0C" w:rsidRPr="00834D9A" w:rsidRDefault="009E4B0C" w:rsidP="00834D9A">
      <w:pPr>
        <w:pStyle w:val="a6"/>
        <w:numPr>
          <w:ilvl w:val="0"/>
          <w:numId w:val="2"/>
        </w:num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9F6A2C">
        <w:rPr>
          <w:sz w:val="28"/>
          <w:szCs w:val="28"/>
        </w:rPr>
        <w:t>Погодити і подати на розгляд та затвердження міської ради проект рішення «</w:t>
      </w:r>
      <w:r w:rsidR="00834D9A" w:rsidRPr="00834D9A">
        <w:rPr>
          <w:sz w:val="28"/>
          <w:szCs w:val="28"/>
        </w:rPr>
        <w:t>Про внесення змін до рішення міської ради від 24.12.2020 № 2-44 «Про</w:t>
      </w:r>
      <w:r w:rsidR="00E94487">
        <w:rPr>
          <w:sz w:val="28"/>
          <w:szCs w:val="28"/>
        </w:rPr>
        <w:t> </w:t>
      </w:r>
      <w:r w:rsidR="00834D9A" w:rsidRPr="00834D9A">
        <w:rPr>
          <w:sz w:val="28"/>
          <w:szCs w:val="28"/>
        </w:rPr>
        <w:t>затвердження Програми будівництва, реконструкції, ремонту та утримання об’єктів вулично-дорожньої мережі міста Черкаси на 2021 – 2025 роки»</w:t>
      </w:r>
      <w:r w:rsidRPr="00834D9A">
        <w:rPr>
          <w:sz w:val="28"/>
          <w:szCs w:val="28"/>
        </w:rPr>
        <w:t>».</w:t>
      </w:r>
    </w:p>
    <w:p w:rsidR="009E4B0C" w:rsidRPr="009F6A2C" w:rsidRDefault="009E4B0C" w:rsidP="000C39D3">
      <w:pPr>
        <w:tabs>
          <w:tab w:val="left" w:pos="709"/>
          <w:tab w:val="left" w:pos="916"/>
          <w:tab w:val="left" w:pos="1418"/>
        </w:tabs>
        <w:ind w:firstLine="567"/>
        <w:jc w:val="both"/>
        <w:rPr>
          <w:sz w:val="28"/>
          <w:szCs w:val="28"/>
        </w:rPr>
      </w:pPr>
    </w:p>
    <w:p w:rsidR="009E4B0C" w:rsidRPr="009F6A2C" w:rsidRDefault="009E4B0C" w:rsidP="000C39D3">
      <w:pPr>
        <w:numPr>
          <w:ilvl w:val="0"/>
          <w:numId w:val="2"/>
        </w:numPr>
        <w:tabs>
          <w:tab w:val="left" w:pos="709"/>
          <w:tab w:val="left" w:pos="916"/>
          <w:tab w:val="left" w:pos="1418"/>
        </w:tabs>
        <w:ind w:left="0" w:firstLine="567"/>
        <w:jc w:val="both"/>
        <w:rPr>
          <w:sz w:val="28"/>
          <w:szCs w:val="28"/>
        </w:rPr>
      </w:pPr>
      <w:r w:rsidRPr="009F6A2C">
        <w:rPr>
          <w:sz w:val="28"/>
          <w:szCs w:val="28"/>
        </w:rPr>
        <w:t xml:space="preserve">Контроль за виконанням рішення покласти на </w:t>
      </w:r>
      <w:r w:rsidR="00577327" w:rsidRPr="009F6A2C">
        <w:rPr>
          <w:sz w:val="28"/>
          <w:szCs w:val="28"/>
        </w:rPr>
        <w:t>д</w:t>
      </w:r>
      <w:r w:rsidR="007B7727" w:rsidRPr="009F6A2C">
        <w:rPr>
          <w:sz w:val="28"/>
          <w:szCs w:val="28"/>
        </w:rPr>
        <w:t>иректора департаменту житлово-комунального комплексу</w:t>
      </w:r>
      <w:r w:rsidR="00C85799" w:rsidRPr="009F6A2C">
        <w:rPr>
          <w:sz w:val="28"/>
          <w:szCs w:val="28"/>
        </w:rPr>
        <w:t xml:space="preserve"> </w:t>
      </w:r>
      <w:r w:rsidR="00577327" w:rsidRPr="009F6A2C">
        <w:rPr>
          <w:sz w:val="28"/>
          <w:szCs w:val="28"/>
        </w:rPr>
        <w:t>Яценка О.О.</w:t>
      </w:r>
    </w:p>
    <w:p w:rsidR="009E4B0C" w:rsidRPr="009F6A2C" w:rsidRDefault="009E4B0C" w:rsidP="009E4B0C">
      <w:pPr>
        <w:spacing w:line="288" w:lineRule="auto"/>
        <w:jc w:val="both"/>
        <w:rPr>
          <w:sz w:val="28"/>
          <w:szCs w:val="28"/>
        </w:rPr>
      </w:pPr>
    </w:p>
    <w:p w:rsidR="005F4E03" w:rsidRPr="009F6A2C" w:rsidRDefault="005F4E03" w:rsidP="009E4B0C">
      <w:pPr>
        <w:spacing w:line="288" w:lineRule="auto"/>
        <w:jc w:val="both"/>
        <w:rPr>
          <w:sz w:val="28"/>
          <w:szCs w:val="28"/>
        </w:rPr>
      </w:pPr>
    </w:p>
    <w:p w:rsidR="009E4B0C" w:rsidRPr="009F6A2C" w:rsidRDefault="009E4B0C" w:rsidP="009E4B0C">
      <w:pPr>
        <w:spacing w:line="288" w:lineRule="auto"/>
        <w:jc w:val="both"/>
        <w:rPr>
          <w:sz w:val="28"/>
          <w:szCs w:val="28"/>
        </w:rPr>
      </w:pPr>
    </w:p>
    <w:p w:rsidR="009E4B0C" w:rsidRPr="009F6A2C" w:rsidRDefault="009E4B0C" w:rsidP="006A6D9C">
      <w:pPr>
        <w:spacing w:line="288" w:lineRule="auto"/>
        <w:jc w:val="both"/>
        <w:rPr>
          <w:sz w:val="28"/>
          <w:szCs w:val="28"/>
        </w:rPr>
      </w:pPr>
      <w:r w:rsidRPr="009F6A2C">
        <w:rPr>
          <w:sz w:val="28"/>
          <w:szCs w:val="28"/>
        </w:rPr>
        <w:t>Міський голова</w:t>
      </w:r>
      <w:r w:rsidRPr="009F6A2C">
        <w:rPr>
          <w:sz w:val="28"/>
          <w:szCs w:val="28"/>
        </w:rPr>
        <w:tab/>
      </w:r>
      <w:r w:rsidRPr="009F6A2C">
        <w:rPr>
          <w:sz w:val="28"/>
          <w:szCs w:val="28"/>
        </w:rPr>
        <w:tab/>
      </w:r>
      <w:r w:rsidRPr="009F6A2C">
        <w:rPr>
          <w:sz w:val="28"/>
          <w:szCs w:val="28"/>
        </w:rPr>
        <w:tab/>
      </w:r>
      <w:r w:rsidRPr="009F6A2C">
        <w:rPr>
          <w:sz w:val="28"/>
          <w:szCs w:val="28"/>
        </w:rPr>
        <w:tab/>
      </w:r>
      <w:r w:rsidRPr="009F6A2C">
        <w:rPr>
          <w:sz w:val="28"/>
          <w:szCs w:val="28"/>
        </w:rPr>
        <w:tab/>
      </w:r>
      <w:r w:rsidRPr="009F6A2C">
        <w:rPr>
          <w:sz w:val="28"/>
          <w:szCs w:val="28"/>
        </w:rPr>
        <w:tab/>
      </w:r>
      <w:r w:rsidRPr="009F6A2C">
        <w:rPr>
          <w:sz w:val="28"/>
          <w:szCs w:val="28"/>
        </w:rPr>
        <w:tab/>
      </w:r>
      <w:r w:rsidR="004C308A" w:rsidRPr="009F6A2C">
        <w:rPr>
          <w:sz w:val="28"/>
          <w:szCs w:val="28"/>
        </w:rPr>
        <w:t xml:space="preserve">   </w:t>
      </w:r>
      <w:r w:rsidR="006A6D9C" w:rsidRPr="009F6A2C">
        <w:rPr>
          <w:sz w:val="28"/>
          <w:szCs w:val="28"/>
        </w:rPr>
        <w:t xml:space="preserve">          </w:t>
      </w:r>
      <w:r w:rsidR="004C308A" w:rsidRPr="009F6A2C">
        <w:rPr>
          <w:sz w:val="28"/>
          <w:szCs w:val="28"/>
        </w:rPr>
        <w:t>А.В.</w:t>
      </w:r>
      <w:r w:rsidR="006A6D9C" w:rsidRPr="009F6A2C">
        <w:rPr>
          <w:sz w:val="28"/>
          <w:szCs w:val="28"/>
        </w:rPr>
        <w:t xml:space="preserve"> </w:t>
      </w:r>
      <w:r w:rsidR="004C308A" w:rsidRPr="009F6A2C">
        <w:rPr>
          <w:sz w:val="28"/>
          <w:szCs w:val="28"/>
        </w:rPr>
        <w:t>Бондаренко</w:t>
      </w:r>
    </w:p>
    <w:p w:rsidR="00CB76B6" w:rsidRDefault="00CB76B6"/>
    <w:p w:rsidR="000C39D3" w:rsidRPr="009F6A2C" w:rsidRDefault="000C39D3"/>
    <w:p w:rsidR="00F60DFA" w:rsidRDefault="00CD5693" w:rsidP="00CD5693">
      <w:pPr>
        <w:spacing w:line="288" w:lineRule="auto"/>
        <w:jc w:val="both"/>
        <w:rPr>
          <w:color w:val="FFFFFF" w:themeColor="background1"/>
          <w:sz w:val="28"/>
          <w:szCs w:val="28"/>
        </w:rPr>
      </w:pPr>
      <w:r w:rsidRPr="000C39D3">
        <w:rPr>
          <w:color w:val="FFFFFF" w:themeColor="background1"/>
          <w:sz w:val="28"/>
          <w:szCs w:val="28"/>
        </w:rPr>
        <w:t>Заступник</w:t>
      </w:r>
    </w:p>
    <w:p w:rsidR="00CD5693" w:rsidRPr="000C39D3" w:rsidRDefault="00CD5693" w:rsidP="00CD5693">
      <w:pPr>
        <w:spacing w:line="288" w:lineRule="auto"/>
        <w:jc w:val="both"/>
        <w:rPr>
          <w:color w:val="FFFFFF" w:themeColor="background1"/>
          <w:sz w:val="28"/>
          <w:szCs w:val="28"/>
        </w:rPr>
      </w:pPr>
      <w:r w:rsidRPr="000C39D3">
        <w:rPr>
          <w:color w:val="FFFFFF" w:themeColor="background1"/>
          <w:sz w:val="28"/>
          <w:szCs w:val="28"/>
        </w:rPr>
        <w:t xml:space="preserve"> міського голови з питань</w:t>
      </w:r>
    </w:p>
    <w:p w:rsidR="008F477E" w:rsidRDefault="00CD5693" w:rsidP="00995177">
      <w:pPr>
        <w:spacing w:line="288" w:lineRule="auto"/>
        <w:jc w:val="both"/>
        <w:rPr>
          <w:color w:val="FFFFFF" w:themeColor="background1"/>
          <w:sz w:val="28"/>
          <w:szCs w:val="28"/>
          <w:lang w:val="en-US"/>
        </w:rPr>
      </w:pPr>
      <w:proofErr w:type="spellStart"/>
      <w:r w:rsidRPr="000C39D3">
        <w:rPr>
          <w:color w:val="FFFFFF" w:themeColor="background1"/>
          <w:sz w:val="28"/>
          <w:szCs w:val="28"/>
        </w:rPr>
        <w:lastRenderedPageBreak/>
        <w:t>діяльн</w:t>
      </w:r>
      <w:proofErr w:type="spellEnd"/>
    </w:p>
    <w:p w:rsidR="008F477E" w:rsidRDefault="008F477E" w:rsidP="008F477E"/>
    <w:tbl>
      <w:tblPr>
        <w:tblpPr w:leftFromText="180" w:rightFromText="180" w:vertAnchor="text" w:tblpY="1"/>
        <w:tblOverlap w:val="never"/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950"/>
        <w:gridCol w:w="1134"/>
        <w:gridCol w:w="850"/>
        <w:gridCol w:w="851"/>
        <w:gridCol w:w="1108"/>
        <w:gridCol w:w="1443"/>
      </w:tblGrid>
      <w:tr w:rsidR="008F477E" w:rsidTr="008F477E"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477E" w:rsidRDefault="008F477E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8F477E" w:rsidRDefault="008F477E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Проект рішення</w:t>
            </w:r>
          </w:p>
        </w:tc>
      </w:tr>
      <w:tr w:rsidR="008F477E" w:rsidTr="008F477E">
        <w:trPr>
          <w:trHeight w:val="898"/>
        </w:trPr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  <w:hideMark/>
          </w:tcPr>
          <w:p w:rsidR="008F477E" w:rsidRDefault="008F477E">
            <w:pPr>
              <w:jc w:val="center"/>
            </w:pPr>
            <w:r>
              <w:rPr>
                <w:color w:val="000000"/>
              </w:rPr>
              <w:object w:dxaOrig="675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8" o:title=""/>
                </v:shape>
                <o:OLEObject Type="Embed" ProgID="PBrush" ShapeID="_x0000_i1025" DrawAspect="Content" ObjectID="_1688884027" r:id="rId9"/>
              </w:object>
            </w:r>
          </w:p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477E" w:rsidRDefault="008F477E"/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77E" w:rsidRDefault="008F477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№          -      </w:t>
            </w:r>
            <w:proofErr w:type="spellStart"/>
            <w:r>
              <w:rPr>
                <w:b/>
                <w:sz w:val="36"/>
                <w:szCs w:val="36"/>
              </w:rPr>
              <w:t>-рд</w:t>
            </w:r>
            <w:proofErr w:type="spellEnd"/>
          </w:p>
        </w:tc>
      </w:tr>
      <w:tr w:rsidR="008F477E" w:rsidTr="008F477E"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4848" w:type="dxa"/>
            <w:gridSpan w:val="5"/>
            <w:noWrap/>
            <w:vAlign w:val="center"/>
            <w:hideMark/>
          </w:tcPr>
          <w:p w:rsidR="008F477E" w:rsidRDefault="008F477E">
            <w:pPr>
              <w:jc w:val="center"/>
            </w:pPr>
            <w:r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477E" w:rsidRDefault="008F477E"/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477E" w:rsidRDefault="008F477E"/>
        </w:tc>
      </w:tr>
      <w:tr w:rsidR="008F477E" w:rsidTr="008F477E">
        <w:tc>
          <w:tcPr>
            <w:tcW w:w="1063" w:type="dxa"/>
            <w:noWrap/>
            <w:vAlign w:val="center"/>
          </w:tcPr>
          <w:p w:rsidR="008F477E" w:rsidRDefault="008F477E">
            <w:pPr>
              <w:rPr>
                <w:color w:val="FFFFFF"/>
              </w:rPr>
            </w:pPr>
            <w:r>
              <w:rPr>
                <w:color w:val="FFFFFF"/>
              </w:rPr>
              <w:t>&lt;</w:t>
            </w:r>
          </w:p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/>
        </w:tc>
        <w:tc>
          <w:tcPr>
            <w:tcW w:w="1108" w:type="dxa"/>
            <w:noWrap/>
            <w:vAlign w:val="center"/>
          </w:tcPr>
          <w:p w:rsidR="008F477E" w:rsidRDefault="008F477E"/>
        </w:tc>
        <w:tc>
          <w:tcPr>
            <w:tcW w:w="1443" w:type="dxa"/>
            <w:noWrap/>
            <w:vAlign w:val="center"/>
          </w:tcPr>
          <w:p w:rsidR="008F477E" w:rsidRDefault="008F477E"/>
        </w:tc>
      </w:tr>
      <w:tr w:rsidR="008F477E" w:rsidTr="008F477E">
        <w:tc>
          <w:tcPr>
            <w:tcW w:w="1063" w:type="dxa"/>
            <w:noWrap/>
            <w:vAlign w:val="center"/>
          </w:tcPr>
          <w:p w:rsidR="008F477E" w:rsidRDefault="008F477E">
            <w:pPr>
              <w:rPr>
                <w:color w:val="FFFFFF"/>
              </w:rPr>
            </w:pPr>
          </w:p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/>
        </w:tc>
        <w:tc>
          <w:tcPr>
            <w:tcW w:w="1108" w:type="dxa"/>
            <w:noWrap/>
            <w:vAlign w:val="center"/>
          </w:tcPr>
          <w:p w:rsidR="008F477E" w:rsidRDefault="008F477E"/>
        </w:tc>
        <w:tc>
          <w:tcPr>
            <w:tcW w:w="1443" w:type="dxa"/>
            <w:noWrap/>
            <w:vAlign w:val="center"/>
          </w:tcPr>
          <w:p w:rsidR="008F477E" w:rsidRDefault="008F477E"/>
        </w:tc>
      </w:tr>
      <w:tr w:rsidR="008F477E" w:rsidTr="008F477E">
        <w:trPr>
          <w:trHeight w:val="1629"/>
        </w:trPr>
        <w:tc>
          <w:tcPr>
            <w:tcW w:w="4139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477E" w:rsidRDefault="008F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внесення змін до рішення міської ради від 24.12.2020 </w:t>
            </w:r>
            <w:r>
              <w:rPr>
                <w:b/>
                <w:sz w:val="28"/>
                <w:szCs w:val="28"/>
              </w:rPr>
              <w:br/>
              <w:t>№ 2-44 «</w:t>
            </w:r>
            <w:r>
              <w:rPr>
                <w:b/>
                <w:bCs/>
                <w:color w:val="000000"/>
                <w:sz w:val="28"/>
                <w:szCs w:val="28"/>
              </w:rPr>
              <w:t>Про затвердження Програми будівництва, реконструкції, ремонту та утримання об’єктів вулично-дорожньої мережі міста Черкаси на 2021 – 2025 роки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77E" w:rsidRDefault="008F477E">
            <w:pPr>
              <w:jc w:val="both"/>
            </w:pP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77E" w:rsidRDefault="008F477E">
            <w:pPr>
              <w:jc w:val="both"/>
            </w:pPr>
          </w:p>
        </w:tc>
        <w:tc>
          <w:tcPr>
            <w:tcW w:w="8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77E" w:rsidRDefault="008F477E">
            <w:pPr>
              <w:jc w:val="both"/>
            </w:pPr>
          </w:p>
        </w:tc>
        <w:tc>
          <w:tcPr>
            <w:tcW w:w="11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77E" w:rsidRDefault="008F477E">
            <w:pPr>
              <w:jc w:val="both"/>
            </w:pPr>
          </w:p>
        </w:tc>
        <w:tc>
          <w:tcPr>
            <w:tcW w:w="14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77E" w:rsidRDefault="008F477E">
            <w:pPr>
              <w:jc w:val="both"/>
            </w:pPr>
          </w:p>
        </w:tc>
      </w:tr>
      <w:tr w:rsidR="008F477E" w:rsidTr="008F477E">
        <w:tc>
          <w:tcPr>
            <w:tcW w:w="9525" w:type="dxa"/>
            <w:gridSpan w:val="9"/>
            <w:noWrap/>
            <w:vAlign w:val="center"/>
          </w:tcPr>
          <w:p w:rsidR="008F477E" w:rsidRDefault="008F477E">
            <w:pPr>
              <w:ind w:firstLine="675"/>
              <w:jc w:val="both"/>
              <w:rPr>
                <w:sz w:val="28"/>
                <w:szCs w:val="28"/>
              </w:rPr>
            </w:pPr>
          </w:p>
        </w:tc>
      </w:tr>
      <w:tr w:rsidR="008F477E" w:rsidTr="008F477E">
        <w:tc>
          <w:tcPr>
            <w:tcW w:w="9525" w:type="dxa"/>
            <w:gridSpan w:val="9"/>
            <w:noWrap/>
            <w:vAlign w:val="center"/>
          </w:tcPr>
          <w:p w:rsidR="008F477E" w:rsidRDefault="008F477E">
            <w:pPr>
              <w:ind w:firstLine="5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Відповідно до пункту 22 частини 1 статті 26 Закону України «Про місцеве самоврядування в Україні», статті 91 Бюджетного кодексу України, Черкаська міська рада</w:t>
            </w:r>
          </w:p>
          <w:p w:rsidR="008F477E" w:rsidRDefault="008F477E">
            <w:pPr>
              <w:ind w:firstLine="5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477E" w:rsidRDefault="008F477E">
            <w:pPr>
              <w:ind w:firstLine="5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ВИРІШИЛА:</w:t>
            </w:r>
          </w:p>
          <w:p w:rsidR="008F477E" w:rsidRDefault="008F477E">
            <w:pPr>
              <w:ind w:firstLine="518"/>
              <w:jc w:val="both"/>
              <w:rPr>
                <w:b/>
                <w:sz w:val="28"/>
                <w:szCs w:val="28"/>
              </w:rPr>
            </w:pPr>
          </w:p>
          <w:p w:rsidR="008F477E" w:rsidRDefault="008F477E">
            <w:pPr>
              <w:tabs>
                <w:tab w:val="left" w:pos="1085"/>
              </w:tabs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Внести зміни до рішення Черкаської міської ради від 24.12.2020                  № 2-44 «Про затвердження Програми будівництва, реконструкції, ремонту та утримання об’єктів вулично-дорожньої мережі міста Черкаси на 2021 – 2025 роки», а саме: </w:t>
            </w:r>
          </w:p>
          <w:p w:rsidR="008F477E" w:rsidRPr="008F477E" w:rsidRDefault="008F477E">
            <w:pPr>
              <w:spacing w:line="232" w:lineRule="auto"/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 розділ ІІ. «Мета та основні завдання програми» викласти у наступній редакції: «Метою Програми є поліпшення транспортно-експлуатаційного стану автомобільних доріг, мостів, шляхопроводів, дорожньої інфраструктури та інших об’єктів вулично-дорожньої мережі, забезпечення безперервності їх розвитку, поліпшення технічних показників, підвищення безпеки руху, швидкості, економічності та комфортності перевезень пасажирів і вантажів автомобільним транспортом, підвищення конкурентоспроможності автомобільних доріг щодо транзитних перевезень та розвитку автомобільного туризму, сприяння економічному та екологічно збалансованому розвитку міста.</w:t>
            </w:r>
          </w:p>
          <w:p w:rsidR="008F477E" w:rsidRDefault="008F477E">
            <w:pPr>
              <w:spacing w:line="232" w:lineRule="auto"/>
              <w:ind w:firstLine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Програмою визначено такі основні цілі та завдання:</w:t>
            </w:r>
          </w:p>
          <w:p w:rsidR="008F477E" w:rsidRDefault="008F477E">
            <w:pPr>
              <w:spacing w:line="232" w:lineRule="auto"/>
              <w:ind w:firstLine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розвиток мережі магістральних автомобільних доріг;</w:t>
            </w:r>
          </w:p>
          <w:p w:rsidR="008F477E" w:rsidRDefault="008F477E">
            <w:pPr>
              <w:spacing w:line="232" w:lineRule="auto"/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розвиток вулично-дорожньої інфраструктури і створення безпечних умов дорожнього руху за допомогою технічних засобів та інженерного облаштування;</w:t>
            </w:r>
          </w:p>
          <w:p w:rsidR="008F477E" w:rsidRDefault="008F477E">
            <w:pPr>
              <w:spacing w:line="232" w:lineRule="auto"/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збереження об’єктів вулично-дорожньої мережі та забезпечення їх ефективного використання;</w:t>
            </w:r>
          </w:p>
          <w:p w:rsidR="008F477E" w:rsidRDefault="008F477E">
            <w:pPr>
              <w:spacing w:line="232" w:lineRule="auto"/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 розвиток дорожнього сервісу та інформаційного забезпечення учасників дорожнього руху;</w:t>
            </w:r>
          </w:p>
          <w:p w:rsidR="008F477E" w:rsidRDefault="008F477E">
            <w:pPr>
              <w:spacing w:line="232" w:lineRule="auto"/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bCs/>
                <w:sz w:val="28"/>
                <w:szCs w:val="28"/>
              </w:rPr>
              <w:t xml:space="preserve">забезпечення беззбиткової господарської діяльності </w:t>
            </w:r>
            <w:proofErr w:type="spellStart"/>
            <w:r>
              <w:rPr>
                <w:bCs/>
                <w:sz w:val="28"/>
                <w:szCs w:val="28"/>
              </w:rPr>
              <w:t>балансоутримувача</w:t>
            </w:r>
            <w:proofErr w:type="spellEnd"/>
            <w:r>
              <w:rPr>
                <w:bCs/>
                <w:sz w:val="28"/>
                <w:szCs w:val="28"/>
              </w:rPr>
              <w:t xml:space="preserve"> вулично-дорожньої мережі</w:t>
            </w:r>
            <w:r>
              <w:rPr>
                <w:sz w:val="28"/>
                <w:szCs w:val="28"/>
              </w:rPr>
              <w:t xml:space="preserve">.» </w:t>
            </w:r>
          </w:p>
          <w:p w:rsidR="008F477E" w:rsidRDefault="008F477E">
            <w:pPr>
              <w:tabs>
                <w:tab w:val="left" w:pos="1085"/>
              </w:tabs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доповнити пункт 4.4. додатку до рішення «Інші заходи із розвитку та збереження вулично-дорожньої мережі міста» розділу ІV. «Напрямки реалізації програми»</w:t>
            </w:r>
            <w:r>
              <w:t xml:space="preserve"> </w:t>
            </w:r>
            <w:r>
              <w:rPr>
                <w:sz w:val="28"/>
                <w:szCs w:val="28"/>
              </w:rPr>
              <w:t>абзацом 2 наступного змісту: «</w:t>
            </w:r>
            <w:r>
              <w:rPr>
                <w:spacing w:val="-4"/>
                <w:sz w:val="28"/>
                <w:szCs w:val="28"/>
              </w:rPr>
              <w:t xml:space="preserve">Крім того, за рішенням міської ради може надаватись фінансова підтримка </w:t>
            </w:r>
            <w:proofErr w:type="spellStart"/>
            <w:r>
              <w:rPr>
                <w:spacing w:val="-4"/>
                <w:sz w:val="28"/>
                <w:szCs w:val="28"/>
              </w:rPr>
              <w:t>балансоутримувачу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для забезпечення його беззбиткової діяльності, зокрема на виконання судових рішень.».</w:t>
            </w:r>
          </w:p>
          <w:p w:rsidR="008F477E" w:rsidRDefault="008F477E">
            <w:pPr>
              <w:spacing w:before="120" w:after="120"/>
              <w:ind w:firstLine="518"/>
              <w:jc w:val="both"/>
            </w:pPr>
          </w:p>
          <w:p w:rsidR="008F477E" w:rsidRDefault="008F477E">
            <w:pPr>
              <w:tabs>
                <w:tab w:val="left" w:pos="1085"/>
              </w:tabs>
              <w:ind w:firstLine="518"/>
              <w:jc w:val="both"/>
            </w:pPr>
            <w:r>
              <w:rPr>
                <w:sz w:val="28"/>
                <w:szCs w:val="28"/>
              </w:rPr>
              <w:t>2. Контроль за виконанням цього рішення покласти на першого заступника міського голови з питань діяльності виконавчих органів ради Тищенка С.О., постійну комісію міської ради з питань житлово-комунального господарства, транспорту та екології (Батир Р.А.).</w:t>
            </w:r>
          </w:p>
        </w:tc>
      </w:tr>
      <w:tr w:rsidR="008F477E" w:rsidTr="008F477E">
        <w:tc>
          <w:tcPr>
            <w:tcW w:w="1063" w:type="dxa"/>
            <w:noWrap/>
            <w:vAlign w:val="center"/>
          </w:tcPr>
          <w:p w:rsidR="008F477E" w:rsidRDefault="008F477E">
            <w:pPr>
              <w:ind w:firstLine="518"/>
            </w:pPr>
          </w:p>
        </w:tc>
        <w:tc>
          <w:tcPr>
            <w:tcW w:w="1063" w:type="dxa"/>
            <w:noWrap/>
            <w:vAlign w:val="center"/>
          </w:tcPr>
          <w:p w:rsidR="008F477E" w:rsidRDefault="008F477E">
            <w:pPr>
              <w:ind w:firstLine="518"/>
            </w:pPr>
          </w:p>
        </w:tc>
        <w:tc>
          <w:tcPr>
            <w:tcW w:w="1063" w:type="dxa"/>
            <w:noWrap/>
            <w:vAlign w:val="center"/>
          </w:tcPr>
          <w:p w:rsidR="008F477E" w:rsidRDefault="008F477E">
            <w:pPr>
              <w:ind w:firstLine="518"/>
            </w:pPr>
          </w:p>
        </w:tc>
        <w:tc>
          <w:tcPr>
            <w:tcW w:w="950" w:type="dxa"/>
            <w:noWrap/>
            <w:vAlign w:val="center"/>
          </w:tcPr>
          <w:p w:rsidR="008F477E" w:rsidRDefault="008F477E">
            <w:pPr>
              <w:ind w:firstLine="518"/>
            </w:pPr>
          </w:p>
        </w:tc>
        <w:tc>
          <w:tcPr>
            <w:tcW w:w="1134" w:type="dxa"/>
            <w:noWrap/>
            <w:vAlign w:val="center"/>
          </w:tcPr>
          <w:p w:rsidR="008F477E" w:rsidRDefault="008F477E">
            <w:pPr>
              <w:ind w:firstLine="518"/>
            </w:pPr>
          </w:p>
        </w:tc>
        <w:tc>
          <w:tcPr>
            <w:tcW w:w="850" w:type="dxa"/>
            <w:noWrap/>
            <w:vAlign w:val="center"/>
          </w:tcPr>
          <w:p w:rsidR="008F477E" w:rsidRDefault="008F477E">
            <w:pPr>
              <w:ind w:firstLine="518"/>
            </w:pPr>
          </w:p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firstLine="518"/>
            </w:pPr>
          </w:p>
        </w:tc>
        <w:tc>
          <w:tcPr>
            <w:tcW w:w="1108" w:type="dxa"/>
            <w:noWrap/>
            <w:vAlign w:val="center"/>
          </w:tcPr>
          <w:p w:rsidR="008F477E" w:rsidRDefault="008F477E">
            <w:pPr>
              <w:ind w:firstLine="518"/>
            </w:pPr>
          </w:p>
        </w:tc>
        <w:tc>
          <w:tcPr>
            <w:tcW w:w="1443" w:type="dxa"/>
            <w:noWrap/>
            <w:vAlign w:val="center"/>
          </w:tcPr>
          <w:p w:rsidR="008F477E" w:rsidRDefault="008F477E">
            <w:pPr>
              <w:ind w:firstLine="518"/>
            </w:pPr>
          </w:p>
        </w:tc>
      </w:tr>
      <w:tr w:rsidR="008F477E" w:rsidTr="008F477E"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/>
        </w:tc>
        <w:tc>
          <w:tcPr>
            <w:tcW w:w="1108" w:type="dxa"/>
            <w:noWrap/>
            <w:vAlign w:val="center"/>
          </w:tcPr>
          <w:p w:rsidR="008F477E" w:rsidRDefault="008F477E"/>
        </w:tc>
        <w:tc>
          <w:tcPr>
            <w:tcW w:w="1443" w:type="dxa"/>
            <w:noWrap/>
            <w:vAlign w:val="center"/>
          </w:tcPr>
          <w:p w:rsidR="008F477E" w:rsidRDefault="008F477E"/>
        </w:tc>
      </w:tr>
      <w:tr w:rsidR="008F477E" w:rsidTr="008F477E"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1063" w:type="dxa"/>
            <w:noWrap/>
            <w:vAlign w:val="center"/>
          </w:tcPr>
          <w:p w:rsidR="008F477E" w:rsidRDefault="008F477E"/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/>
        </w:tc>
        <w:tc>
          <w:tcPr>
            <w:tcW w:w="1108" w:type="dxa"/>
            <w:noWrap/>
            <w:vAlign w:val="center"/>
          </w:tcPr>
          <w:p w:rsidR="008F477E" w:rsidRDefault="008F477E"/>
        </w:tc>
        <w:tc>
          <w:tcPr>
            <w:tcW w:w="1443" w:type="dxa"/>
            <w:noWrap/>
            <w:vAlign w:val="center"/>
          </w:tcPr>
          <w:p w:rsidR="008F477E" w:rsidRDefault="008F477E"/>
        </w:tc>
      </w:tr>
      <w:tr w:rsidR="008F477E" w:rsidTr="008F477E">
        <w:tc>
          <w:tcPr>
            <w:tcW w:w="3189" w:type="dxa"/>
            <w:gridSpan w:val="3"/>
            <w:noWrap/>
            <w:vAlign w:val="center"/>
            <w:hideMark/>
          </w:tcPr>
          <w:p w:rsidR="008F477E" w:rsidRDefault="008F477E">
            <w:r>
              <w:rPr>
                <w:b/>
                <w:sz w:val="28"/>
              </w:rPr>
              <w:t>Міський голова</w:t>
            </w:r>
          </w:p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right="-1984"/>
            </w:pPr>
          </w:p>
        </w:tc>
        <w:tc>
          <w:tcPr>
            <w:tcW w:w="2551" w:type="dxa"/>
            <w:gridSpan w:val="2"/>
            <w:noWrap/>
            <w:vAlign w:val="center"/>
            <w:hideMark/>
          </w:tcPr>
          <w:p w:rsidR="008F477E" w:rsidRDefault="008F477E">
            <w:pPr>
              <w:ind w:right="-1984"/>
              <w:rPr>
                <w:b/>
              </w:rPr>
            </w:pPr>
            <w:r>
              <w:rPr>
                <w:b/>
                <w:sz w:val="28"/>
                <w:szCs w:val="28"/>
              </w:rPr>
              <w:t>А.В. Бондаренко</w:t>
            </w:r>
          </w:p>
        </w:tc>
      </w:tr>
      <w:tr w:rsidR="008F477E" w:rsidTr="008F477E">
        <w:tc>
          <w:tcPr>
            <w:tcW w:w="3189" w:type="dxa"/>
            <w:gridSpan w:val="3"/>
            <w:noWrap/>
            <w:vAlign w:val="center"/>
          </w:tcPr>
          <w:p w:rsidR="008F477E" w:rsidRDefault="008F477E">
            <w:pPr>
              <w:rPr>
                <w:b/>
                <w:sz w:val="28"/>
              </w:rPr>
            </w:pPr>
          </w:p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right="-1984"/>
            </w:pPr>
          </w:p>
        </w:tc>
        <w:tc>
          <w:tcPr>
            <w:tcW w:w="2551" w:type="dxa"/>
            <w:gridSpan w:val="2"/>
            <w:noWrap/>
            <w:vAlign w:val="center"/>
          </w:tcPr>
          <w:p w:rsidR="008F477E" w:rsidRDefault="008F477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8F477E" w:rsidTr="008F477E">
        <w:tc>
          <w:tcPr>
            <w:tcW w:w="3189" w:type="dxa"/>
            <w:gridSpan w:val="3"/>
            <w:noWrap/>
            <w:vAlign w:val="center"/>
          </w:tcPr>
          <w:p w:rsidR="008F477E" w:rsidRDefault="008F477E">
            <w:pPr>
              <w:rPr>
                <w:b/>
                <w:sz w:val="28"/>
              </w:rPr>
            </w:pPr>
          </w:p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right="-1984"/>
            </w:pPr>
          </w:p>
        </w:tc>
        <w:tc>
          <w:tcPr>
            <w:tcW w:w="2551" w:type="dxa"/>
            <w:gridSpan w:val="2"/>
            <w:noWrap/>
            <w:vAlign w:val="center"/>
          </w:tcPr>
          <w:p w:rsidR="008F477E" w:rsidRDefault="008F477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8F477E" w:rsidTr="008F477E">
        <w:tc>
          <w:tcPr>
            <w:tcW w:w="3189" w:type="dxa"/>
            <w:gridSpan w:val="3"/>
            <w:noWrap/>
            <w:vAlign w:val="center"/>
          </w:tcPr>
          <w:p w:rsidR="008F477E" w:rsidRDefault="008F477E">
            <w:pPr>
              <w:rPr>
                <w:b/>
                <w:sz w:val="28"/>
              </w:rPr>
            </w:pPr>
          </w:p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right="-1984"/>
            </w:pPr>
          </w:p>
        </w:tc>
        <w:tc>
          <w:tcPr>
            <w:tcW w:w="2551" w:type="dxa"/>
            <w:gridSpan w:val="2"/>
            <w:noWrap/>
            <w:vAlign w:val="center"/>
          </w:tcPr>
          <w:p w:rsidR="008F477E" w:rsidRDefault="008F477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8F477E" w:rsidTr="008F477E">
        <w:tc>
          <w:tcPr>
            <w:tcW w:w="3189" w:type="dxa"/>
            <w:gridSpan w:val="3"/>
            <w:noWrap/>
            <w:vAlign w:val="center"/>
          </w:tcPr>
          <w:p w:rsidR="008F477E" w:rsidRDefault="008F477E">
            <w:pPr>
              <w:rPr>
                <w:b/>
                <w:sz w:val="28"/>
              </w:rPr>
            </w:pPr>
          </w:p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right="-1984"/>
            </w:pPr>
          </w:p>
        </w:tc>
        <w:tc>
          <w:tcPr>
            <w:tcW w:w="2551" w:type="dxa"/>
            <w:gridSpan w:val="2"/>
            <w:noWrap/>
            <w:vAlign w:val="center"/>
          </w:tcPr>
          <w:p w:rsidR="008F477E" w:rsidRDefault="008F477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8F477E" w:rsidTr="008F477E">
        <w:tc>
          <w:tcPr>
            <w:tcW w:w="3189" w:type="dxa"/>
            <w:gridSpan w:val="3"/>
            <w:noWrap/>
            <w:vAlign w:val="center"/>
          </w:tcPr>
          <w:p w:rsidR="008F477E" w:rsidRDefault="008F477E">
            <w:pPr>
              <w:rPr>
                <w:b/>
                <w:sz w:val="28"/>
              </w:rPr>
            </w:pPr>
          </w:p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right="-1984"/>
            </w:pPr>
          </w:p>
        </w:tc>
        <w:tc>
          <w:tcPr>
            <w:tcW w:w="2551" w:type="dxa"/>
            <w:gridSpan w:val="2"/>
            <w:noWrap/>
            <w:vAlign w:val="center"/>
          </w:tcPr>
          <w:p w:rsidR="008F477E" w:rsidRDefault="008F477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8F477E" w:rsidTr="008F477E">
        <w:tc>
          <w:tcPr>
            <w:tcW w:w="3189" w:type="dxa"/>
            <w:gridSpan w:val="3"/>
            <w:noWrap/>
            <w:vAlign w:val="center"/>
          </w:tcPr>
          <w:p w:rsidR="008F477E" w:rsidRDefault="008F477E">
            <w:pPr>
              <w:rPr>
                <w:b/>
                <w:sz w:val="28"/>
              </w:rPr>
            </w:pPr>
          </w:p>
        </w:tc>
        <w:tc>
          <w:tcPr>
            <w:tcW w:w="950" w:type="dxa"/>
            <w:noWrap/>
            <w:vAlign w:val="center"/>
          </w:tcPr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right="-1984"/>
            </w:pPr>
          </w:p>
        </w:tc>
        <w:tc>
          <w:tcPr>
            <w:tcW w:w="2551" w:type="dxa"/>
            <w:gridSpan w:val="2"/>
            <w:noWrap/>
            <w:vAlign w:val="center"/>
          </w:tcPr>
          <w:p w:rsidR="008F477E" w:rsidRDefault="008F477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8F477E" w:rsidTr="008F477E">
        <w:tc>
          <w:tcPr>
            <w:tcW w:w="3189" w:type="dxa"/>
            <w:gridSpan w:val="3"/>
            <w:noWrap/>
            <w:vAlign w:val="center"/>
          </w:tcPr>
          <w:p w:rsidR="008F477E" w:rsidRDefault="008F477E">
            <w:pPr>
              <w:rPr>
                <w:b/>
                <w:sz w:val="28"/>
              </w:rPr>
            </w:pPr>
          </w:p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right="-1984"/>
            </w:pPr>
          </w:p>
        </w:tc>
        <w:tc>
          <w:tcPr>
            <w:tcW w:w="2551" w:type="dxa"/>
            <w:gridSpan w:val="2"/>
            <w:noWrap/>
            <w:vAlign w:val="center"/>
          </w:tcPr>
          <w:p w:rsidR="008F477E" w:rsidRDefault="008F477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8F477E" w:rsidTr="008F477E">
        <w:tc>
          <w:tcPr>
            <w:tcW w:w="3189" w:type="dxa"/>
            <w:gridSpan w:val="3"/>
            <w:noWrap/>
            <w:vAlign w:val="center"/>
          </w:tcPr>
          <w:p w:rsidR="008F477E" w:rsidRDefault="008F477E">
            <w:pPr>
              <w:rPr>
                <w:b/>
                <w:sz w:val="28"/>
              </w:rPr>
            </w:pPr>
          </w:p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right="-1984"/>
            </w:pPr>
          </w:p>
        </w:tc>
        <w:tc>
          <w:tcPr>
            <w:tcW w:w="2551" w:type="dxa"/>
            <w:gridSpan w:val="2"/>
            <w:noWrap/>
            <w:vAlign w:val="center"/>
          </w:tcPr>
          <w:p w:rsidR="008F477E" w:rsidRDefault="008F477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8F477E" w:rsidTr="008F477E">
        <w:tc>
          <w:tcPr>
            <w:tcW w:w="3189" w:type="dxa"/>
            <w:gridSpan w:val="3"/>
            <w:noWrap/>
            <w:vAlign w:val="center"/>
          </w:tcPr>
          <w:p w:rsidR="008F477E" w:rsidRDefault="008F477E">
            <w:pPr>
              <w:rPr>
                <w:b/>
                <w:sz w:val="28"/>
              </w:rPr>
            </w:pPr>
          </w:p>
        </w:tc>
        <w:tc>
          <w:tcPr>
            <w:tcW w:w="950" w:type="dxa"/>
            <w:noWrap/>
            <w:vAlign w:val="center"/>
          </w:tcPr>
          <w:p w:rsidR="008F477E" w:rsidRDefault="008F477E"/>
        </w:tc>
        <w:tc>
          <w:tcPr>
            <w:tcW w:w="1134" w:type="dxa"/>
            <w:noWrap/>
            <w:vAlign w:val="center"/>
          </w:tcPr>
          <w:p w:rsidR="008F477E" w:rsidRDefault="008F477E"/>
        </w:tc>
        <w:tc>
          <w:tcPr>
            <w:tcW w:w="850" w:type="dxa"/>
            <w:noWrap/>
            <w:vAlign w:val="center"/>
          </w:tcPr>
          <w:p w:rsidR="008F477E" w:rsidRDefault="008F477E"/>
        </w:tc>
        <w:tc>
          <w:tcPr>
            <w:tcW w:w="851" w:type="dxa"/>
            <w:noWrap/>
            <w:vAlign w:val="center"/>
          </w:tcPr>
          <w:p w:rsidR="008F477E" w:rsidRDefault="008F477E">
            <w:pPr>
              <w:ind w:right="-1984"/>
            </w:pPr>
          </w:p>
        </w:tc>
        <w:tc>
          <w:tcPr>
            <w:tcW w:w="2551" w:type="dxa"/>
            <w:gridSpan w:val="2"/>
            <w:noWrap/>
            <w:vAlign w:val="center"/>
          </w:tcPr>
          <w:p w:rsidR="008F477E" w:rsidRDefault="008F477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8F477E" w:rsidTr="008F477E">
        <w:trPr>
          <w:trHeight w:val="4186"/>
        </w:trPr>
        <w:tc>
          <w:tcPr>
            <w:tcW w:w="9525" w:type="dxa"/>
            <w:gridSpan w:val="9"/>
            <w:noWrap/>
            <w:vAlign w:val="center"/>
          </w:tcPr>
          <w:p w:rsidR="008F477E" w:rsidRDefault="008F477E">
            <w:pPr>
              <w:ind w:firstLine="180"/>
              <w:jc w:val="center"/>
              <w:rPr>
                <w:sz w:val="28"/>
                <w:szCs w:val="28"/>
              </w:rPr>
            </w:pPr>
          </w:p>
          <w:p w:rsidR="008F477E" w:rsidRDefault="008F477E">
            <w:pPr>
              <w:ind w:left="-180" w:right="-185"/>
              <w:jc w:val="center"/>
              <w:outlineLvl w:val="0"/>
              <w:rPr>
                <w:b/>
                <w:bCs/>
                <w:sz w:val="28"/>
                <w:lang w:eastAsia="uk-UA"/>
              </w:rPr>
            </w:pPr>
            <w:r>
              <w:rPr>
                <w:b/>
                <w:bCs/>
                <w:sz w:val="28"/>
                <w:lang w:eastAsia="uk-UA"/>
              </w:rPr>
              <w:t>Пояснювальна записка</w:t>
            </w:r>
            <w:r>
              <w:rPr>
                <w:b/>
                <w:bCs/>
                <w:sz w:val="28"/>
                <w:lang w:eastAsia="uk-UA"/>
              </w:rPr>
              <w:br/>
              <w:t>до проекту рішення:</w:t>
            </w:r>
          </w:p>
          <w:p w:rsidR="008F477E" w:rsidRDefault="008F477E">
            <w:pPr>
              <w:ind w:left="-180" w:right="-185"/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lang w:eastAsia="uk-UA"/>
              </w:rPr>
              <w:br/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Про внесення змін до рішення міської ради від 24.12.2020 № 2-44 «Про затвердження Програми будівництва, реконструкції, ремонту та утримання об’єктів вулично-дорожньої мережі міста Черкаси на 2021 – 2025 роки»»</w:t>
            </w:r>
          </w:p>
          <w:p w:rsidR="008F477E" w:rsidRDefault="008F477E">
            <w:pPr>
              <w:ind w:right="168"/>
              <w:jc w:val="center"/>
              <w:rPr>
                <w:sz w:val="28"/>
                <w:szCs w:val="28"/>
              </w:rPr>
            </w:pPr>
          </w:p>
          <w:p w:rsidR="008F477E" w:rsidRDefault="008F477E">
            <w:pPr>
              <w:ind w:right="142" w:firstLine="709"/>
              <w:jc w:val="both"/>
              <w:rPr>
                <w:sz w:val="28"/>
                <w:szCs w:val="28"/>
              </w:rPr>
            </w:pPr>
          </w:p>
          <w:p w:rsidR="008F477E" w:rsidRDefault="008F477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Відповідно до звернення комунального підприємства «Черкаське експлуатаційне лінійне управління автомобільних шляхів» Черкаської міської ради існує необхідність погашення заборгованості, що виникла за рішеннями судів. </w:t>
            </w:r>
          </w:p>
          <w:p w:rsidR="008F477E" w:rsidRDefault="008F477E">
            <w:pPr>
              <w:ind w:firstLine="567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Тому, виникла потреба доповнити пункт 4.4. «Інші заходи із розвитку та збереження вулично-дорожньої мережі міста» розділу ІV. «Напрямки реалізації програми» абзацом 2 наступного змісту: «</w:t>
            </w:r>
            <w:r>
              <w:rPr>
                <w:spacing w:val="-4"/>
                <w:sz w:val="28"/>
                <w:szCs w:val="28"/>
              </w:rPr>
              <w:t xml:space="preserve">Крім того, за рішенням міської ради може надаватись фінансова підтримка </w:t>
            </w:r>
            <w:proofErr w:type="spellStart"/>
            <w:r>
              <w:rPr>
                <w:spacing w:val="-4"/>
                <w:sz w:val="28"/>
                <w:szCs w:val="28"/>
              </w:rPr>
              <w:t>балансоутримувачу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для забезпечення його беззбиткової діяльності, в тому числі на виконання судових рішень.».</w:t>
            </w:r>
          </w:p>
          <w:p w:rsidR="008F477E" w:rsidRDefault="008F477E">
            <w:pPr>
              <w:ind w:firstLine="567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Враховуючи означене, </w:t>
            </w:r>
            <w:r>
              <w:rPr>
                <w:sz w:val="28"/>
                <w:szCs w:val="28"/>
              </w:rPr>
              <w:t>прошу прийняти рішення «Про внесення змін до рішення міської ради від 24.12.2020 № 2-44 «Про затвердження Програми будівництва, реконструкції, ремонту та утримання об’єктів вулично-дорожньої мережі міста Черкаси на 2021 – 2025 роки»».</w:t>
            </w:r>
          </w:p>
          <w:p w:rsidR="008F477E" w:rsidRDefault="008F477E">
            <w:pPr>
              <w:ind w:right="142" w:firstLine="709"/>
              <w:jc w:val="both"/>
              <w:rPr>
                <w:sz w:val="28"/>
                <w:szCs w:val="28"/>
              </w:rPr>
            </w:pPr>
          </w:p>
          <w:p w:rsidR="008F477E" w:rsidRDefault="008F477E">
            <w:pPr>
              <w:ind w:right="142" w:firstLine="709"/>
              <w:jc w:val="both"/>
              <w:rPr>
                <w:sz w:val="28"/>
                <w:szCs w:val="28"/>
              </w:rPr>
            </w:pPr>
          </w:p>
          <w:p w:rsidR="008F477E" w:rsidRDefault="008F477E">
            <w:pPr>
              <w:rPr>
                <w:sz w:val="28"/>
                <w:szCs w:val="28"/>
              </w:rPr>
            </w:pPr>
          </w:p>
          <w:p w:rsidR="008F477E" w:rsidRDefault="008F477E">
            <w:pPr>
              <w:rPr>
                <w:sz w:val="28"/>
                <w:szCs w:val="28"/>
              </w:rPr>
            </w:pPr>
          </w:p>
          <w:p w:rsidR="008F477E" w:rsidRDefault="008F477E">
            <w:pPr>
              <w:rPr>
                <w:sz w:val="28"/>
                <w:szCs w:val="28"/>
              </w:rPr>
            </w:pPr>
          </w:p>
          <w:p w:rsidR="008F477E" w:rsidRDefault="008F477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 xml:space="preserve">. директора департаменту                                                    А.М. </w:t>
            </w:r>
            <w:proofErr w:type="spellStart"/>
            <w:r>
              <w:rPr>
                <w:sz w:val="28"/>
                <w:szCs w:val="28"/>
              </w:rPr>
              <w:t>Наумчук</w:t>
            </w:r>
            <w:proofErr w:type="spellEnd"/>
          </w:p>
        </w:tc>
      </w:tr>
    </w:tbl>
    <w:p w:rsidR="008F477E" w:rsidRDefault="008F477E" w:rsidP="008F477E"/>
    <w:p w:rsidR="00CD5693" w:rsidRPr="00995177" w:rsidRDefault="008F477E" w:rsidP="00995177">
      <w:pPr>
        <w:spacing w:line="288" w:lineRule="auto"/>
        <w:jc w:val="both"/>
        <w:rPr>
          <w:color w:val="FFFFFF" w:themeColor="background1"/>
          <w:sz w:val="28"/>
          <w:szCs w:val="28"/>
        </w:rPr>
      </w:pPr>
      <w:r w:rsidRPr="00EC1830">
        <w:rPr>
          <w:color w:val="FFFFFF" w:themeColor="background1"/>
          <w:sz w:val="28"/>
          <w:szCs w:val="28"/>
          <w:lang w:val="ru-RU"/>
        </w:rPr>
        <w:t xml:space="preserve"> </w:t>
      </w:r>
      <w:r w:rsidR="00CD5693" w:rsidRPr="000C39D3">
        <w:rPr>
          <w:color w:val="FFFFFF" w:themeColor="background1"/>
          <w:sz w:val="28"/>
          <w:szCs w:val="28"/>
        </w:rPr>
        <w:t xml:space="preserve">ості виконавчих органів ради                                          І.В. Волошин </w:t>
      </w:r>
    </w:p>
    <w:sectPr w:rsidR="00CD5693" w:rsidRPr="00995177" w:rsidSect="0072475D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124"/>
    <w:multiLevelType w:val="hybridMultilevel"/>
    <w:tmpl w:val="93EA1C50"/>
    <w:lvl w:ilvl="0" w:tplc="BB9A7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7945355"/>
    <w:multiLevelType w:val="hybridMultilevel"/>
    <w:tmpl w:val="70284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C"/>
    <w:rsid w:val="000749A7"/>
    <w:rsid w:val="00080AA7"/>
    <w:rsid w:val="000827DB"/>
    <w:rsid w:val="000C39D3"/>
    <w:rsid w:val="00120D53"/>
    <w:rsid w:val="00154CD9"/>
    <w:rsid w:val="00193E58"/>
    <w:rsid w:val="001D347B"/>
    <w:rsid w:val="00240D2C"/>
    <w:rsid w:val="00244153"/>
    <w:rsid w:val="002609ED"/>
    <w:rsid w:val="002D2A0D"/>
    <w:rsid w:val="002F6770"/>
    <w:rsid w:val="0033526E"/>
    <w:rsid w:val="00417C26"/>
    <w:rsid w:val="0042372E"/>
    <w:rsid w:val="004C308A"/>
    <w:rsid w:val="004F5C2F"/>
    <w:rsid w:val="00577327"/>
    <w:rsid w:val="005F4E03"/>
    <w:rsid w:val="00694C0A"/>
    <w:rsid w:val="006A6D9C"/>
    <w:rsid w:val="0072475D"/>
    <w:rsid w:val="007249B6"/>
    <w:rsid w:val="007B7727"/>
    <w:rsid w:val="007F5E60"/>
    <w:rsid w:val="00834D9A"/>
    <w:rsid w:val="00860081"/>
    <w:rsid w:val="008A4D0E"/>
    <w:rsid w:val="008F477E"/>
    <w:rsid w:val="00995177"/>
    <w:rsid w:val="009E4B0C"/>
    <w:rsid w:val="009F6A2C"/>
    <w:rsid w:val="00A1462D"/>
    <w:rsid w:val="00B205F7"/>
    <w:rsid w:val="00BF6C3B"/>
    <w:rsid w:val="00C06939"/>
    <w:rsid w:val="00C85799"/>
    <w:rsid w:val="00CA1D11"/>
    <w:rsid w:val="00CB40A9"/>
    <w:rsid w:val="00CB76B6"/>
    <w:rsid w:val="00CD5693"/>
    <w:rsid w:val="00D71F14"/>
    <w:rsid w:val="00E153D6"/>
    <w:rsid w:val="00E6435A"/>
    <w:rsid w:val="00E94487"/>
    <w:rsid w:val="00EC1830"/>
    <w:rsid w:val="00F070DB"/>
    <w:rsid w:val="00F14307"/>
    <w:rsid w:val="00F60DFA"/>
    <w:rsid w:val="00F74C79"/>
    <w:rsid w:val="00FD4569"/>
    <w:rsid w:val="00FF18F1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F028-3985-4EE7-B145-510E5116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Гонор Олександр</dc:creator>
  <cp:lastModifiedBy>Гаврилова Жанна</cp:lastModifiedBy>
  <cp:revision>30</cp:revision>
  <cp:lastPrinted>2021-07-09T08:36:00Z</cp:lastPrinted>
  <dcterms:created xsi:type="dcterms:W3CDTF">2018-11-06T13:45:00Z</dcterms:created>
  <dcterms:modified xsi:type="dcterms:W3CDTF">2021-07-27T06:41:00Z</dcterms:modified>
</cp:coreProperties>
</file>